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宋体" w:hAnsi="宋体" w:cs="宋体" w:eastAsiaTheme="minorEastAsia"/>
          <w:sz w:val="36"/>
        </w:rPr>
      </w:pPr>
      <w:bookmarkStart w:id="0" w:name="_GoBack"/>
      <w:bookmarkEnd w:id="0"/>
      <w:r>
        <w:rPr>
          <w:rFonts w:hint="eastAsia" w:ascii="宋体" w:hAnsi="宋体" w:cs="宋体" w:eastAsiaTheme="minorEastAsia"/>
          <w:sz w:val="36"/>
        </w:rPr>
        <w:t>投标项目合作协议</w:t>
      </w:r>
    </w:p>
    <w:p>
      <w:pPr>
        <w:pStyle w:val="7"/>
        <w:spacing w:before="0" w:beforeAutospacing="0" w:after="0" w:afterAutospacing="0" w:line="360" w:lineRule="auto"/>
        <w:rPr>
          <w:rFonts w:hint="eastAsia" w:ascii="宋体" w:hAnsi="宋体" w:cs="宋体" w:eastAsiaTheme="minorEastAsia"/>
          <w:color w:val="000000"/>
        </w:rPr>
      </w:pPr>
      <w:r>
        <w:rPr>
          <w:rFonts w:hint="eastAsia" w:ascii="宋体" w:hAnsi="宋体" w:cs="宋体"/>
          <w:b/>
          <w:color w:val="000000"/>
        </w:rPr>
        <w:t>甲方1：</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7"/>
        <w:spacing w:before="0" w:beforeAutospacing="0" w:after="0" w:afterAutospacing="0" w:line="360" w:lineRule="auto"/>
        <w:rPr>
          <w:rFonts w:hint="eastAsia" w:ascii="宋体" w:hAnsi="宋体" w:cs="宋体"/>
          <w:color w:val="000000"/>
        </w:rPr>
      </w:pPr>
      <w:r>
        <w:rPr>
          <w:rFonts w:hint="eastAsia" w:ascii="宋体" w:hAnsi="宋体" w:cs="宋体"/>
          <w:b/>
          <w:color w:val="000000"/>
        </w:rPr>
        <w:t>甲方2：</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7"/>
        <w:spacing w:before="0" w:beforeAutospacing="0" w:after="0" w:afterAutospacing="0" w:line="360" w:lineRule="auto"/>
        <w:rPr>
          <w:rFonts w:hint="eastAsia" w:ascii="宋体" w:hAnsi="宋体" w:cs="宋体"/>
          <w:color w:val="000000"/>
        </w:rPr>
      </w:pPr>
      <w:r>
        <w:rPr>
          <w:rFonts w:hint="eastAsia" w:ascii="宋体" w:hAnsi="宋体" w:cs="宋体"/>
          <w:b/>
          <w:color w:val="000000"/>
        </w:rPr>
        <w:t>乙方：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统一社会信用代码：</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甲乙双方有共同投资</w:t>
      </w:r>
      <w:r>
        <w:rPr>
          <w:rFonts w:hint="eastAsia" w:ascii="宋体" w:hAnsi="宋体" w:cs="宋体"/>
          <w:color w:val="000000"/>
          <w:u w:val="single"/>
        </w:rPr>
        <w:t>        </w:t>
      </w:r>
      <w:r>
        <w:rPr>
          <w:rFonts w:hint="eastAsia" w:ascii="宋体" w:hAnsi="宋体" w:cs="宋体"/>
          <w:color w:val="000000"/>
        </w:rPr>
        <w:t>“</w:t>
      </w:r>
      <w:r>
        <w:rPr>
          <w:rFonts w:hint="eastAsia" w:ascii="宋体" w:hAnsi="宋体" w:cs="宋体"/>
          <w:color w:val="000000"/>
          <w:u w:val="single"/>
        </w:rPr>
        <w:t>        </w:t>
      </w:r>
      <w:r>
        <w:rPr>
          <w:rFonts w:hint="eastAsia" w:ascii="宋体" w:hAnsi="宋体" w:cs="宋体"/>
          <w:color w:val="000000"/>
        </w:rPr>
        <w:t>”（以下简称“拟投资项目”）的意向。经各方友好协商，根据《中华人民共和国民法典》及相关法律法规，双方本着互惠互利的原则，就本次合作相关事宜达成如下协议，以共同遵守。</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合作项目</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项目名称：</w:t>
      </w:r>
      <w:r>
        <w:rPr>
          <w:rFonts w:hint="eastAsia" w:ascii="宋体" w:hAnsi="宋体" w:cs="宋体"/>
          <w:color w:val="000000"/>
          <w:u w:val="single"/>
        </w:rPr>
        <w:t>  </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项目地点：</w:t>
      </w:r>
      <w:r>
        <w:rPr>
          <w:rFonts w:hint="eastAsia" w:ascii="宋体" w:hAnsi="宋体" w:cs="宋体"/>
          <w:color w:val="000000"/>
          <w:u w:val="single"/>
        </w:rPr>
        <w:t>  </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利润分配和亏损承担</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分配比例。双方同意，甲方取得投资项目所产生利润的</w:t>
      </w:r>
      <w:r>
        <w:rPr>
          <w:rFonts w:hint="eastAsia" w:ascii="宋体" w:hAnsi="宋体" w:cs="宋体"/>
          <w:color w:val="000000"/>
          <w:u w:val="single"/>
        </w:rPr>
        <w:t>  %（百分之  ）</w:t>
      </w:r>
      <w:r>
        <w:rPr>
          <w:rFonts w:hint="eastAsia" w:ascii="宋体" w:hAnsi="宋体" w:cs="宋体"/>
          <w:color w:val="000000"/>
        </w:rPr>
        <w:t>，乙方取得投资项目所产生利润的</w:t>
      </w:r>
      <w:r>
        <w:rPr>
          <w:rFonts w:hint="eastAsia" w:ascii="宋体" w:hAnsi="宋体" w:cs="宋体"/>
          <w:color w:val="000000"/>
          <w:u w:val="single"/>
        </w:rPr>
        <w:t>  %（百分之  ）</w:t>
      </w:r>
      <w:r>
        <w:rPr>
          <w:rFonts w:hint="eastAsia" w:ascii="宋体" w:hAnsi="宋体" w:cs="宋体"/>
          <w:color w:val="000000"/>
        </w:rPr>
        <w:t>。</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分配期限。甲方取得拟投资项目全部投资利润后5个工作日内，应按照分配比例向乙方分配投资利润。甲方逾期支付的，每逾期一日，应向乙方支付逾期款项的千分之一作为违约金。</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亏损承担。若拟投资项目亏损的，应当先以项目公司财产偿还债务，项目公司财产不足偿还时，由甲方自行承担，乙方不承担债务偿还的责任。</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投资款项及支付</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各方投资比例。甲方1和甲方2应共同承担总投资额的</w:t>
      </w:r>
      <w:r>
        <w:rPr>
          <w:rFonts w:hint="eastAsia" w:ascii="宋体" w:hAnsi="宋体" w:cs="宋体"/>
          <w:color w:val="000000"/>
          <w:u w:val="single"/>
        </w:rPr>
        <w:t>  %（百分之  ）</w:t>
      </w:r>
      <w:r>
        <w:rPr>
          <w:rFonts w:hint="eastAsia" w:ascii="宋体" w:hAnsi="宋体" w:cs="宋体"/>
          <w:color w:val="000000"/>
        </w:rPr>
        <w:t>，乙方承担总投资额的</w:t>
      </w:r>
      <w:r>
        <w:rPr>
          <w:rFonts w:hint="eastAsia" w:ascii="宋体" w:hAnsi="宋体" w:cs="宋体"/>
          <w:color w:val="000000"/>
          <w:u w:val="single"/>
        </w:rPr>
        <w:t>  %（百分之  ）</w:t>
      </w:r>
      <w:r>
        <w:rPr>
          <w:rFonts w:hint="eastAsia" w:ascii="宋体" w:hAnsi="宋体" w:cs="宋体"/>
          <w:color w:val="000000"/>
        </w:rPr>
        <w:t>。</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本协议签订之日起3个工作日内，乙方应支付</w:t>
      </w:r>
      <w:r>
        <w:rPr>
          <w:rFonts w:hint="eastAsia" w:ascii="宋体" w:hAnsi="宋体" w:cs="宋体"/>
          <w:color w:val="000000"/>
          <w:u w:val="single"/>
        </w:rPr>
        <w:t>人民币（大写）  元（￥  元）</w:t>
      </w:r>
      <w:r>
        <w:rPr>
          <w:rFonts w:hint="eastAsia" w:ascii="宋体" w:hAnsi="宋体" w:cs="宋体"/>
          <w:color w:val="000000"/>
        </w:rPr>
        <w:t>至甲方1指定账户，作为投标时所需向拟投资项目招标公司支付的保证金。甲方1在收到乙方支付的保证金后立即支付给招标公司。</w:t>
      </w:r>
    </w:p>
    <w:p>
      <w:pPr>
        <w:pStyle w:val="7"/>
        <w:widowControl/>
        <w:numPr>
          <w:ilvl w:val="2"/>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甲方1指定收款账户信息如下：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指定收款账号：</w:t>
      </w:r>
      <w:r>
        <w:rPr>
          <w:rFonts w:hint="eastAsia" w:ascii="宋体" w:hAnsi="宋体" w:cs="宋体"/>
          <w:color w:val="000000"/>
          <w:u w:val="single"/>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开户行：</w:t>
      </w:r>
      <w:r>
        <w:rPr>
          <w:rFonts w:hint="eastAsia" w:ascii="宋体" w:hAnsi="宋体" w:cs="宋体"/>
          <w:color w:val="000000"/>
          <w:u w:val="single"/>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户名：</w:t>
      </w:r>
      <w:r>
        <w:rPr>
          <w:rFonts w:hint="eastAsia" w:ascii="宋体" w:hAnsi="宋体" w:cs="宋体"/>
          <w:color w:val="000000"/>
          <w:u w:val="single"/>
        </w:rPr>
        <w:t>        </w:t>
      </w:r>
    </w:p>
    <w:p>
      <w:pPr>
        <w:pStyle w:val="7"/>
        <w:widowControl/>
        <w:numPr>
          <w:ilvl w:val="2"/>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招标公司指定收款账户信息如下：</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指定收款账号：</w:t>
      </w:r>
      <w:r>
        <w:rPr>
          <w:rFonts w:hint="eastAsia" w:ascii="宋体" w:hAnsi="宋体" w:cs="宋体"/>
          <w:color w:val="000000"/>
          <w:u w:val="single"/>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开户行：</w:t>
      </w:r>
      <w:r>
        <w:rPr>
          <w:rFonts w:hint="eastAsia" w:ascii="宋体" w:hAnsi="宋体" w:cs="宋体"/>
          <w:color w:val="000000"/>
          <w:u w:val="single"/>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户名：</w:t>
      </w:r>
      <w:r>
        <w:rPr>
          <w:rFonts w:hint="eastAsia" w:ascii="宋体" w:hAnsi="宋体" w:cs="宋体"/>
          <w:color w:val="000000"/>
          <w:u w:val="single"/>
        </w:rPr>
        <w:t>        </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任一方未按时足额支付投资款本金的，应在利润分配时扣除相应的款项。若待分配利润不足以抵扣投资款的，协议其他方仍有权要求该方补足投资款。</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若甲方2未按时足额支付投资款本金的，协议其他方有权要求甲方2以其可获得的股权转让价款支付投资款。</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投标事宜</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甲方1和甲方2负责拟投资项目的投标事宜以及中标后项目的实际执行。</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若拟投资项目未中标的，甲方1和甲方2应当在竞标失败后的15个工作日内将乙方支付的拟投资项目保证金</w:t>
      </w:r>
      <w:r>
        <w:rPr>
          <w:rFonts w:hint="eastAsia" w:ascii="宋体" w:hAnsi="宋体" w:cs="宋体"/>
          <w:color w:val="000000"/>
          <w:u w:val="single"/>
        </w:rPr>
        <w:t>人民币（大写）  元（￥  元）</w:t>
      </w:r>
      <w:r>
        <w:rPr>
          <w:rFonts w:hint="eastAsia" w:ascii="宋体" w:hAnsi="宋体" w:cs="宋体"/>
          <w:color w:val="000000"/>
        </w:rPr>
        <w:t>一次性退还给乙方，逾期退还的，每逾期一日，应向乙方支付逾期款项的千分之一作为违约金。</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若拟投资项目中标的，则甲乙双方按甲方</w:t>
      </w:r>
      <w:r>
        <w:rPr>
          <w:rFonts w:hint="eastAsia" w:ascii="宋体" w:hAnsi="宋体" w:cs="宋体"/>
          <w:color w:val="000000"/>
          <w:u w:val="single"/>
        </w:rPr>
        <w:t>  %（百分之  ）</w:t>
      </w:r>
      <w:r>
        <w:rPr>
          <w:rFonts w:hint="eastAsia" w:ascii="宋体" w:hAnsi="宋体" w:cs="宋体"/>
          <w:color w:val="000000"/>
        </w:rPr>
        <w:t>、乙方</w:t>
      </w:r>
      <w:r>
        <w:rPr>
          <w:rFonts w:hint="eastAsia" w:ascii="宋体" w:hAnsi="宋体" w:cs="宋体"/>
          <w:color w:val="000000"/>
          <w:u w:val="single"/>
        </w:rPr>
        <w:t>  %（百分之  ）</w:t>
      </w:r>
      <w:r>
        <w:rPr>
          <w:rFonts w:hint="eastAsia" w:ascii="宋体" w:hAnsi="宋体" w:cs="宋体"/>
          <w:color w:val="000000"/>
        </w:rPr>
        <w:t>出资成立项目公司对中标项目后期的执行、实施进行管理。乙方享有项目公司的控制权，负责对拟投资项目执行相关事宜以及其他项目公司经营事项作出决策，甲方负责严格按照乙方所作决策执行相关事务。</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拟投资项目对外经营、签约、收款（开具发票）均以新成立的项目公司的名义进行；项目内部权利义务分配则按本协议处理。</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甲方权利和义务</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甲方1应当在收到乙方支付的拟投资项目保证金后当日内将甲方的银行印鉴章、U盾全部交由乙方代为保管。</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甲方1保证在收到乙方支付的款项后应当妥善保管资金，确保资金安全，不得擅自挪用资金。</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项目公司中甲方指派人员应当负责执行共同投资的项目的日常事务，包括但不限于负责项目人员的招聘、安排、管理；行政审批手续及日常事务的管理；项目日常资金的流转、支付等。</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甲方1和甲方2有义务向乙方汇报拟投资项目的执行情况并听取乙方就拟投资项目执行提出的相关建议。</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甲方1和甲方2在执行事务时如违反本协议约定造成乙方损失的，应承担赔偿责任。</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甲方1和甲方2应当保证拟投资项目投标时的利润达到30%以上。</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乙方权利和义务</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乙方享有固定收益权，有权了解共同投资的项目的经营状况和财务状况。</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项目公司中乙方指派人员有权对投资事宜的处理及执行事宜做出决策，对甲方的执行情况进行监督并提出相关建议。</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甲方执行共同投资事务所产生的收益归甲乙双方，乙方享有固定分红，所产生的亏损或者民事责任，由甲方承担。</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陈述与保证</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甲方1保证其系依据其成立地所适用法律、法规合法设立、有效存续且状况良好的法人；甲方2保证其系有完全民事行为能力的自然人。</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根据相关法律，甲方1和甲方2均为拥有签署本协议能力，并拥有充分履行其在本协议项下的每一项义务所必需的能力。</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1向乙方披露的有关甲方1公司的生产、经营、财务状况、权属权益状态、债权债务情况及公司对其他任何人（包括自然人、法人、政府机构等）所应尽之义务、责任等信息均为全面、完整、真实的；甲方1保证不存在任何未履行完毕的债务（包括但不限于借款、贷款、尚未履行的金钱义务等）、未对外提供担保、未抵押财产并无任何未决的司法案件。</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甲方2保证就履行本合作所披露的任何信息均为全面、完整、真实的，甲方1保证不存在任何未履行完毕的债务（包括但不限于借款、贷款、尚未履行的金钱义务等）、未对外担保、未抵押财产并无任何未决的司法案件。</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违约责任</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如甲方有下列情形的，乙方有权解除本协议：</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（1）甲方在合作过程中向乙方提供的相关文件为伪造的、虚假的、超过有效期的或就本次合作所作陈述为虚假的；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（2）在拟投资项目中标前，甲方无故拒绝履行本协议义务的；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（3）违反本协议约定低价中标的，即拟投资项目中标后利润未达到30%以上的；</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（4）若在拟投资项目中标后，甲方1和甲方2未妥善执行投资事项的。</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因甲方原因导致乙方解除本协议的，甲方应同时承担下列责任：</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（1）退还乙方向甲方1支付的全部款项；</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（2）向乙方支付违约金</w:t>
      </w:r>
      <w:r>
        <w:rPr>
          <w:rFonts w:hint="eastAsia" w:ascii="宋体" w:hAnsi="宋体" w:cs="宋体"/>
          <w:color w:val="000000"/>
          <w:u w:val="single"/>
        </w:rPr>
        <w:t>人民币（大写）  元（￥  元）</w:t>
      </w:r>
      <w:r>
        <w:rPr>
          <w:rFonts w:hint="eastAsia" w:ascii="宋体" w:hAnsi="宋体" w:cs="宋体"/>
          <w:color w:val="000000"/>
        </w:rPr>
        <w:t>。</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若因违约方的违约行为给守约方造成损失的，违约方还应承担损害赔偿责任，且违约方应承担守约方的诉讼费、律师费、调查费、差旅费、执行费、保全费等实现债权所发生的一切费用。</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争议解决</w:t>
      </w:r>
    </w:p>
    <w:p>
      <w:pPr>
        <w:pStyle w:val="7"/>
        <w:spacing w:before="0" w:beforeAutospacing="0" w:after="0" w:afterAutospacing="0" w:line="360" w:lineRule="auto"/>
        <w:rPr>
          <w:rFonts w:hint="eastAsia" w:ascii="宋体" w:hAnsi="宋体" w:cs="宋体" w:eastAsiaTheme="minorEastAsia"/>
          <w:color w:val="000000"/>
        </w:rPr>
      </w:pPr>
      <w:r>
        <w:rPr>
          <w:rFonts w:hint="eastAsia" w:ascii="-Apple-System" w:hAnsi="-Apple-System" w:cs="-Apple-System"/>
          <w:color w:val="000000"/>
          <w:sz w:val="20"/>
        </w:rPr>
        <w:t>因本</w:t>
      </w:r>
      <w:r>
        <w:rPr>
          <w:rFonts w:hint="eastAsia" w:ascii="宋体" w:hAnsi="宋体" w:cs="宋体"/>
          <w:color w:val="000000"/>
        </w:rPr>
        <w:t>协议</w:t>
      </w:r>
      <w:r>
        <w:rPr>
          <w:rFonts w:hint="eastAsia" w:ascii="-Apple-System" w:hAnsi="-Apple-System" w:cs="-Apple-System"/>
          <w:color w:val="000000"/>
          <w:sz w:val="20"/>
        </w:rPr>
        <w:t>以及本</w:t>
      </w:r>
      <w:r>
        <w:rPr>
          <w:rFonts w:hint="eastAsia" w:ascii="宋体" w:hAnsi="宋体" w:cs="宋体"/>
          <w:color w:val="000000"/>
        </w:rPr>
        <w:t>协议</w:t>
      </w:r>
      <w:r>
        <w:rPr>
          <w:rFonts w:hint="eastAsia" w:ascii="-Apple-System" w:hAnsi="-Apple-System" w:cs="-Apple-System"/>
          <w:color w:val="000000"/>
          <w:sz w:val="20"/>
        </w:rPr>
        <w:t>项下订单</w:t>
      </w:r>
      <w:r>
        <w:rPr>
          <w:rFonts w:ascii="-Apple-System" w:hAnsi="-Apple-System" w:cs="-Apple-System"/>
          <w:color w:val="000000"/>
          <w:sz w:val="20"/>
        </w:rPr>
        <w:t>/</w:t>
      </w:r>
      <w:r>
        <w:rPr>
          <w:rFonts w:hint="eastAsia" w:ascii="-Apple-System" w:hAnsi="-Apple-System" w:cs="-Apple-System"/>
          <w:color w:val="000000"/>
          <w:sz w:val="20"/>
        </w:rPr>
        <w:t>附件</w:t>
      </w:r>
      <w:r>
        <w:rPr>
          <w:rFonts w:ascii="-Apple-System" w:hAnsi="-Apple-System" w:cs="-Apple-System"/>
          <w:color w:val="000000"/>
          <w:sz w:val="20"/>
        </w:rPr>
        <w:t>/</w:t>
      </w:r>
      <w:r>
        <w:rPr>
          <w:rFonts w:hint="eastAsia" w:ascii="-Apple-System" w:hAnsi="-Apple-System" w:cs="-Apple-System"/>
          <w:color w:val="000000"/>
          <w:sz w:val="20"/>
        </w:rPr>
        <w:t>补充协议等（如有）引起或有关的任何争议</w:t>
      </w:r>
      <w:r>
        <w:rPr>
          <w:rFonts w:hint="eastAsia" w:ascii="宋体" w:hAnsi="宋体" w:cs="宋体"/>
          <w:color w:val="000000"/>
        </w:rPr>
        <w:t>，由协议各方协商解决，也可由有关部门调解。协商或调解不成的，应向</w:t>
      </w:r>
      <w:r>
        <w:rPr>
          <w:rFonts w:hint="eastAsia" w:ascii="宋体" w:hAnsi="宋体" w:cs="宋体"/>
          <w:color w:val="000000"/>
          <w:u w:val="single"/>
        </w:rPr>
        <w:t>  所在地</w:t>
      </w:r>
      <w:r>
        <w:rPr>
          <w:rFonts w:hint="eastAsia" w:ascii="宋体" w:hAnsi="宋体" w:cs="宋体"/>
          <w:color w:val="000000"/>
        </w:rPr>
        <w:t>有管辖权的人民法院起诉。</w:t>
      </w:r>
    </w:p>
    <w:p>
      <w:pPr>
        <w:pStyle w:val="4"/>
        <w:numPr>
          <w:ilvl w:val="0"/>
          <w:numId w:val="1"/>
        </w:numPr>
        <w:spacing w:before="0" w:after="0" w:line="360" w:lineRule="auto"/>
        <w:rPr>
          <w:rFonts w:hint="eastAsia" w:ascii="宋体" w:hAnsi="宋体" w:cs="宋体" w:eastAsiaTheme="minorEastAsia"/>
          <w:color w:val="000000"/>
        </w:rPr>
      </w:pPr>
      <w:r>
        <w:rPr>
          <w:rFonts w:hint="eastAsia" w:ascii="宋体" w:hAnsi="宋体" w:cs="宋体" w:eastAsiaTheme="minorEastAsia"/>
          <w:sz w:val="28"/>
        </w:rPr>
        <w:t>其他</w:t>
      </w:r>
    </w:p>
    <w:p>
      <w:pPr>
        <w:pStyle w:val="7"/>
        <w:widowControl/>
        <w:numPr>
          <w:ilvl w:val="1"/>
          <w:numId w:val="1"/>
        </w:numPr>
        <w:spacing w:before="0" w:beforeAutospacing="0" w:after="0" w:afterAutospacing="0" w:line="360" w:lineRule="auto"/>
        <w:rPr>
          <w:rFonts w:hint="eastAsia" w:ascii="宋体" w:hAnsi="宋体" w:cs="宋体" w:eastAsiaTheme="minorEastAsia"/>
          <w:color w:val="000000"/>
        </w:rPr>
      </w:pPr>
      <w:r>
        <w:rPr>
          <w:rFonts w:hint="eastAsia" w:ascii="宋体" w:hAnsi="宋体" w:cs="宋体"/>
          <w:color w:val="000000"/>
        </w:rPr>
        <w:t>本协议自双方签字或盖章后生效。除本协议另有约定外，协议的任何变更应经双方共同签署书面协议后方可生效。</w:t>
      </w:r>
    </w:p>
    <w:p>
      <w:pPr>
        <w:pStyle w:val="7"/>
        <w:widowControl/>
        <w:numPr>
          <w:ilvl w:val="1"/>
          <w:numId w:val="1"/>
        </w:numPr>
        <w:spacing w:before="0" w:beforeAutospacing="0" w:after="0" w:afterAutospacing="0" w:line="360" w:lineRule="auto"/>
        <w:rPr>
          <w:rFonts w:hint="eastAsia" w:ascii="宋体" w:hAnsi="宋体" w:cs="宋体"/>
          <w:color w:val="000000"/>
        </w:rPr>
      </w:pPr>
      <w:r>
        <w:rPr>
          <w:rFonts w:hint="eastAsia" w:ascii="宋体" w:hAnsi="宋体" w:cs="宋体"/>
          <w:color w:val="000000"/>
        </w:rPr>
        <w:t>本协议一式三份，协议各方各执一份。各份协议文本具有同等法律效力。</w:t>
      </w:r>
    </w:p>
    <w:p>
      <w:pPr>
        <w:pStyle w:val="7"/>
        <w:spacing w:before="0" w:beforeAutospacing="0" w:after="0" w:afterAutospacing="0" w:line="360" w:lineRule="auto"/>
        <w:rPr>
          <w:rFonts w:hint="eastAsia" w:ascii="宋体" w:hAnsi="宋体" w:cs="宋体"/>
          <w:color w:val="000000"/>
        </w:rPr>
      </w:pP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签署时间：    年    月    日</w:t>
      </w:r>
    </w:p>
    <w:p>
      <w:pPr>
        <w:pStyle w:val="7"/>
        <w:spacing w:before="0" w:beforeAutospacing="0" w:after="0" w:afterAutospacing="0" w:line="360" w:lineRule="auto"/>
        <w:rPr>
          <w:rFonts w:hint="eastAsia" w:ascii="宋体" w:hAnsi="宋体" w:cs="宋体"/>
          <w:color w:val="000000"/>
        </w:rPr>
      </w:pPr>
    </w:p>
    <w:p>
      <w:pPr>
        <w:pStyle w:val="7"/>
        <w:spacing w:before="0" w:beforeAutospacing="0" w:after="0" w:afterAutospacing="0" w:line="360" w:lineRule="auto"/>
        <w:rPr>
          <w:rFonts w:hint="eastAsia" w:ascii="宋体" w:hAnsi="宋体" w:cs="宋体"/>
          <w:color w:val="000000"/>
        </w:rPr>
      </w:pPr>
      <w:r>
        <w:rPr>
          <w:rFonts w:hint="eastAsia" w:ascii="宋体" w:hAnsi="宋体" w:cs="宋体"/>
          <w:b/>
          <w:color w:val="000000"/>
        </w:rPr>
        <w:t>甲方1（签字或盖章）：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法定代表人或授权代表（签字）：</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b/>
          <w:color w:val="000000"/>
        </w:rPr>
        <w:t>甲方2（签字或盖章）：</w:t>
      </w:r>
    </w:p>
    <w:p>
      <w:pPr>
        <w:pStyle w:val="7"/>
        <w:spacing w:before="0" w:beforeAutospacing="0" w:after="0" w:afterAutospacing="0" w:line="360" w:lineRule="auto"/>
        <w:rPr>
          <w:rFonts w:hint="eastAsia" w:ascii="宋体" w:hAnsi="宋体" w:cs="宋体"/>
          <w:color w:val="000000"/>
        </w:rPr>
      </w:pPr>
      <w:r>
        <w:rPr>
          <w:rFonts w:hint="eastAsia" w:ascii="宋体" w:hAnsi="宋体" w:cs="宋体"/>
          <w:color w:val="000000"/>
        </w:rPr>
        <w:t> </w:t>
      </w:r>
    </w:p>
    <w:p>
      <w:pPr>
        <w:pStyle w:val="7"/>
        <w:spacing w:before="0" w:beforeAutospacing="0" w:after="0" w:afterAutospacing="0" w:line="360" w:lineRule="auto"/>
        <w:rPr>
          <w:rFonts w:hint="eastAsia" w:ascii="宋体" w:hAnsi="宋体" w:cs="宋体"/>
          <w:color w:val="000000"/>
        </w:rPr>
      </w:pPr>
      <w:r>
        <w:rPr>
          <w:rFonts w:hint="eastAsia" w:ascii="宋体" w:hAnsi="宋体" w:cs="宋体"/>
          <w:b/>
          <w:color w:val="000000"/>
        </w:rPr>
        <w:t>乙方（签字或盖章）：</w:t>
      </w:r>
    </w:p>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chineseCountingThousand"/>
      <w:lvlText w:val="%1、"/>
      <w:lvlJc w:val="left"/>
      <w:pPr>
        <w:ind w:left="0" w:firstLine="0"/>
      </w:pPr>
    </w:lvl>
    <w:lvl w:ilvl="1" w:tentative="0">
      <w:start w:val="1"/>
      <w:numFmt w:val="decimalHalfWidth"/>
      <w:lvlText w:val="%2、"/>
      <w:lvlJc w:val="left"/>
      <w:pPr>
        <w:ind w:left="0" w:firstLine="0"/>
      </w:pPr>
    </w:lvl>
    <w:lvl w:ilvl="2" w:tentative="0">
      <w:start w:val="1"/>
      <w:numFmt w:val="decimalHalfWidth"/>
      <w:lvlText w:val="(%3)"/>
      <w:lvlJc w:val="left"/>
      <w:pPr>
        <w:ind w:left="0" w:firstLine="0"/>
      </w:pPr>
    </w:lvl>
    <w:lvl w:ilvl="3" w:tentative="0">
      <w:start w:val="1"/>
      <w:numFmt w:val="lowerLetter"/>
      <w:lvlText w:val="%4."/>
      <w:lvlJc w:val="left"/>
      <w:pPr>
        <w:ind w:left="0" w:firstLine="0"/>
      </w:pPr>
    </w:lvl>
    <w:lvl w:ilvl="4" w:tentative="0">
      <w:start w:val="1"/>
      <w:numFmt w:val="decimalHalfWidth"/>
      <w:lvlText w:val="%5、"/>
      <w:lvlJc w:val="left"/>
      <w:pPr>
        <w:ind w:left="0" w:firstLine="0"/>
      </w:pPr>
    </w:lvl>
    <w:lvl w:ilvl="5" w:tentative="0">
      <w:start w:val="1"/>
      <w:numFmt w:val="decimalHalfWidth"/>
      <w:lvlText w:val="(%6)"/>
      <w:lvlJc w:val="left"/>
      <w:pPr>
        <w:ind w:left="0" w:firstLine="0"/>
      </w:pPr>
    </w:lvl>
    <w:lvl w:ilvl="6" w:tentative="0">
      <w:start w:val="1"/>
      <w:numFmt w:val="lowerLetter"/>
      <w:lvlText w:val="%7."/>
      <w:lvlJc w:val="left"/>
      <w:pPr>
        <w:ind w:left="0" w:firstLine="0"/>
      </w:pPr>
    </w:lvl>
    <w:lvl w:ilvl="7" w:tentative="0">
      <w:start w:val="1"/>
      <w:numFmt w:val="decimalHalfWidth"/>
      <w:lvlText w:val="%8、"/>
      <w:lvlJc w:val="left"/>
      <w:pPr>
        <w:ind w:left="0" w:firstLine="0"/>
      </w:pPr>
    </w:lvl>
    <w:lvl w:ilvl="8" w:tentative="0">
      <w:start w:val="1"/>
      <w:numFmt w:val="decimalHalfWidth"/>
      <w:lvlText w:val="(%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36D77"/>
    <w:rsid w:val="00082100"/>
    <w:rsid w:val="00132BE2"/>
    <w:rsid w:val="00175E11"/>
    <w:rsid w:val="001D4405"/>
    <w:rsid w:val="002C3C53"/>
    <w:rsid w:val="002C7AD7"/>
    <w:rsid w:val="00321A36"/>
    <w:rsid w:val="0034090E"/>
    <w:rsid w:val="00371187"/>
    <w:rsid w:val="003732B1"/>
    <w:rsid w:val="004662D8"/>
    <w:rsid w:val="004B47BD"/>
    <w:rsid w:val="00552C2D"/>
    <w:rsid w:val="005A1F6C"/>
    <w:rsid w:val="005B2204"/>
    <w:rsid w:val="005E5548"/>
    <w:rsid w:val="006069A1"/>
    <w:rsid w:val="006449C1"/>
    <w:rsid w:val="006A0C05"/>
    <w:rsid w:val="006A37F3"/>
    <w:rsid w:val="00702000"/>
    <w:rsid w:val="007A30F8"/>
    <w:rsid w:val="007D61A3"/>
    <w:rsid w:val="007F1D19"/>
    <w:rsid w:val="007F4266"/>
    <w:rsid w:val="007F5EE3"/>
    <w:rsid w:val="00842696"/>
    <w:rsid w:val="008C6279"/>
    <w:rsid w:val="0092199C"/>
    <w:rsid w:val="00923349"/>
    <w:rsid w:val="00926DB3"/>
    <w:rsid w:val="0094141F"/>
    <w:rsid w:val="009842C2"/>
    <w:rsid w:val="00A5682D"/>
    <w:rsid w:val="00A642FA"/>
    <w:rsid w:val="00A800BA"/>
    <w:rsid w:val="00B16CF8"/>
    <w:rsid w:val="00B30423"/>
    <w:rsid w:val="00BB29E7"/>
    <w:rsid w:val="00BC753B"/>
    <w:rsid w:val="00C320AB"/>
    <w:rsid w:val="00C64D0B"/>
    <w:rsid w:val="00C77A3F"/>
    <w:rsid w:val="00CA4DEA"/>
    <w:rsid w:val="00CC3041"/>
    <w:rsid w:val="00D90B6C"/>
    <w:rsid w:val="00D91A0A"/>
    <w:rsid w:val="00DE29B4"/>
    <w:rsid w:val="00EA1E48"/>
    <w:rsid w:val="00EA3AFD"/>
    <w:rsid w:val="00F43375"/>
    <w:rsid w:val="00F44B25"/>
    <w:rsid w:val="00F85EC7"/>
    <w:rsid w:val="00F934D2"/>
    <w:rsid w:val="00FA051F"/>
    <w:rsid w:val="00FD7DC7"/>
    <w:rsid w:val="5B023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3"/>
    <w:qFormat/>
    <w:uiPriority w:val="9"/>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customStyle="1" w:styleId="12">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3">
    <w:name w:val="标题 1 字符"/>
    <w:basedOn w:val="9"/>
    <w:link w:val="2"/>
    <w:qFormat/>
    <w:uiPriority w:val="9"/>
    <w:rPr>
      <w:rFonts w:ascii="Times New Roman" w:hAnsi="Times New Roman" w:eastAsia="宋体" w:cs="Times New Roman"/>
      <w:b/>
      <w:kern w:val="44"/>
      <w:sz w:val="44"/>
    </w:rPr>
  </w:style>
  <w:style w:type="paragraph" w:customStyle="1" w:styleId="14">
    <w:name w:val="p Char"/>
    <w:basedOn w:val="1"/>
    <w:qFormat/>
    <w:uiPriority w:val="0"/>
    <w:pPr>
      <w:spacing w:before="100" w:beforeAutospacing="1" w:after="100" w:afterAutospacing="1"/>
      <w:jc w:val="left"/>
    </w:pPr>
    <w:rPr>
      <w:kern w:val="0"/>
      <w:sz w:val="24"/>
    </w:rPr>
  </w:style>
  <w:style w:type="character" w:customStyle="1" w:styleId="15">
    <w:name w:val="标题 3 字符"/>
    <w:basedOn w:val="9"/>
    <w:link w:val="4"/>
    <w:semiHidden/>
    <w:qFormat/>
    <w:uiPriority w:val="9"/>
    <w:rPr>
      <w:rFonts w:ascii="Times New Roman" w:hAnsi="Times New Roman" w:eastAsia="宋体" w:cs="Times New Roman"/>
      <w:b/>
      <w:bCs/>
      <w:sz w:val="32"/>
      <w:szCs w:val="32"/>
    </w:rPr>
  </w:style>
  <w:style w:type="character" w:customStyle="1" w:styleId="16">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7">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8">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19">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0">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1">
    <w:name w:val="Table Normal"/>
    <w:qFormat/>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2337</Words>
  <Characters>2342</Characters>
  <Lines>17</Lines>
  <Paragraphs>5</Paragraphs>
  <TotalTime>17</TotalTime>
  <ScaleCrop>false</ScaleCrop>
  <LinksUpToDate>false</LinksUpToDate>
  <CharactersWithSpaces>2462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2024-07-04T06:01:14Z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BB354C1FA1BB4D12BBA0B7299F3A96B3_12</vt:lpwstr>
  </property>
</Properties>
</file>