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80"/>
          <w:position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0"/>
          <w:position w:val="6"/>
          <w:sz w:val="44"/>
          <w:szCs w:val="44"/>
        </w:rPr>
        <w:t>（行政复议机关）</w:t>
      </w:r>
    </w:p>
    <w:p>
      <w:pPr>
        <w:widowControl/>
        <w:tabs>
          <w:tab w:val="left" w:pos="829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行政复议告知书</w:t>
      </w:r>
    </w:p>
    <w:bookmarkEnd w:id="0"/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号</w:t>
      </w: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（申请人）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你（们／单位）对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（被申请人行政行为）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不服,于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日提出的行政复议申请，根据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《中华人民共和国行政复议法》《中华人民共和国行政复议法实施条例》等有关法律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规定，应当依法向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（有权管辖的行政复议机关）        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提出（自提出行政复议申请之日起至收到本告知书之日止的时间，不计入法定申请期限）。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特此告知。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（行政复议机关印章或者行政复议专用章）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2FA66CD6"/>
    <w:rsid w:val="2FA6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2023-09-08T07:40:00Z</dcterms:created>
  <dc:creator>蚍蜉</dc:creator>
  <cp:lastModifiedBy>蚍蜉</cp:lastModifiedBy>
  <dcterms:modified xsi:type="dcterms:W3CDTF">2023-09-08T07:42:24Z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D104C48AD6D24B6F91E8BC6CC601854B_11</vt:lpwstr>
  </property>
</Properties>
</file>